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BD5D" w14:textId="0D9780F4" w:rsidR="00726709" w:rsidRPr="00726709" w:rsidRDefault="00BA7971" w:rsidP="009D7043">
      <w:pPr>
        <w:spacing w:after="200" w:line="300" w:lineRule="auto"/>
        <w:jc w:val="both"/>
        <w:rPr>
          <w:rFonts w:ascii="Segoe UI" w:hAnsi="Segoe UI" w:cs="Segoe UI"/>
          <w:b/>
          <w:bCs/>
          <w:color w:val="0070C0"/>
          <w:sz w:val="21"/>
          <w:szCs w:val="21"/>
          <w:lang w:val="en-US"/>
        </w:rPr>
      </w:pPr>
      <w:r w:rsidRPr="00991E12">
        <w:rPr>
          <w:rFonts w:ascii="Segoe UI" w:hAnsi="Segoe UI" w:cs="Segoe UI"/>
          <w:b/>
          <w:bCs/>
          <w:color w:val="0070C0"/>
          <w:sz w:val="21"/>
          <w:szCs w:val="21"/>
        </w:rPr>
        <w:t>Cost and Climate: Managing Risk, Contracts and Compliance in Nigeria’s Agribusiness Sector</w:t>
      </w:r>
    </w:p>
    <w:p w14:paraId="56255CBE" w14:textId="77777777" w:rsidR="00726709" w:rsidRPr="00726709" w:rsidRDefault="00726709" w:rsidP="009D7043">
      <w:pPr>
        <w:spacing w:after="200" w:line="300" w:lineRule="auto"/>
        <w:jc w:val="both"/>
        <w:rPr>
          <w:rFonts w:ascii="Segoe UI" w:hAnsi="Segoe UI" w:cs="Segoe UI"/>
          <w:b/>
          <w:bCs/>
          <w:sz w:val="21"/>
          <w:szCs w:val="21"/>
          <w:lang w:val="en-US"/>
        </w:rPr>
      </w:pPr>
      <w:r w:rsidRPr="00726709">
        <w:rPr>
          <w:rFonts w:ascii="Segoe UI" w:hAnsi="Segoe UI" w:cs="Segoe UI"/>
          <w:b/>
          <w:bCs/>
          <w:sz w:val="21"/>
          <w:szCs w:val="21"/>
          <w:lang w:val="en-US"/>
        </w:rPr>
        <w:t>Introduction</w:t>
      </w:r>
    </w:p>
    <w:p w14:paraId="7263DB8F" w14:textId="77777777" w:rsidR="00726709" w:rsidRPr="00726709" w:rsidRDefault="00726709" w:rsidP="009D7043">
      <w:pPr>
        <w:spacing w:after="200" w:line="300" w:lineRule="auto"/>
        <w:jc w:val="both"/>
        <w:rPr>
          <w:rFonts w:ascii="Segoe UI" w:hAnsi="Segoe UI" w:cs="Segoe UI"/>
          <w:sz w:val="21"/>
          <w:szCs w:val="21"/>
          <w:lang w:val="en-US"/>
        </w:rPr>
      </w:pPr>
      <w:r w:rsidRPr="00726709">
        <w:rPr>
          <w:rFonts w:ascii="Segoe UI" w:hAnsi="Segoe UI" w:cs="Segoe UI"/>
          <w:sz w:val="21"/>
          <w:szCs w:val="21"/>
          <w:lang w:val="en-US"/>
        </w:rPr>
        <w:t xml:space="preserve">As Nigeria’s agricultural sector moves through 2026, two issues continue to shape performance across the value chain: rising production costs and increasing weather uncertainty. Although recent government measures may ease the cost of key inputs such as </w:t>
      </w:r>
      <w:proofErr w:type="spellStart"/>
      <w:r w:rsidRPr="00726709">
        <w:rPr>
          <w:rFonts w:ascii="Segoe UI" w:hAnsi="Segoe UI" w:cs="Segoe UI"/>
          <w:sz w:val="21"/>
          <w:szCs w:val="21"/>
          <w:lang w:val="en-US"/>
        </w:rPr>
        <w:t>fertiliser</w:t>
      </w:r>
      <w:proofErr w:type="spellEnd"/>
      <w:r w:rsidRPr="00726709">
        <w:rPr>
          <w:rFonts w:ascii="Segoe UI" w:hAnsi="Segoe UI" w:cs="Segoe UI"/>
          <w:sz w:val="21"/>
          <w:szCs w:val="21"/>
          <w:lang w:val="en-US"/>
        </w:rPr>
        <w:t xml:space="preserve"> and seeds, deeper structural problems remain. Storage gaps, transport bottlenecks, and weak distribution systems continue to affect profitability, while Nigeria’s dependence on rain-fed farming leaves producers exposed to erratic weather patterns.</w:t>
      </w:r>
    </w:p>
    <w:p w14:paraId="7BEAE46C" w14:textId="77777777" w:rsidR="00726709" w:rsidRPr="00726709" w:rsidRDefault="00726709" w:rsidP="009D7043">
      <w:pPr>
        <w:spacing w:after="200" w:line="300" w:lineRule="auto"/>
        <w:jc w:val="both"/>
        <w:rPr>
          <w:rFonts w:ascii="Segoe UI" w:hAnsi="Segoe UI" w:cs="Segoe UI"/>
          <w:sz w:val="21"/>
          <w:szCs w:val="21"/>
          <w:lang w:val="en-US"/>
        </w:rPr>
      </w:pPr>
      <w:r w:rsidRPr="00726709">
        <w:rPr>
          <w:rFonts w:ascii="Segoe UI" w:hAnsi="Segoe UI" w:cs="Segoe UI"/>
          <w:sz w:val="21"/>
          <w:szCs w:val="21"/>
          <w:lang w:val="en-US"/>
        </w:rPr>
        <w:t>For agribusinesses, the challenge is no longer only operational. Cost volatility and climate pressure now raise legal, contractual, financing, and risk-allocation issues that require closer attention.</w:t>
      </w:r>
    </w:p>
    <w:p w14:paraId="7D49FD97" w14:textId="2FFA5635" w:rsidR="00726709" w:rsidRPr="00726709" w:rsidRDefault="00726709" w:rsidP="009D7043">
      <w:pPr>
        <w:spacing w:after="0" w:line="300" w:lineRule="auto"/>
        <w:jc w:val="both"/>
        <w:rPr>
          <w:rFonts w:ascii="Segoe UI" w:hAnsi="Segoe UI" w:cs="Segoe UI"/>
          <w:sz w:val="21"/>
          <w:szCs w:val="21"/>
          <w:lang w:val="en-US"/>
        </w:rPr>
      </w:pPr>
    </w:p>
    <w:p w14:paraId="1A927B86" w14:textId="77777777" w:rsidR="00726709" w:rsidRPr="00726709" w:rsidRDefault="00726709" w:rsidP="009D7043">
      <w:pPr>
        <w:spacing w:after="200" w:line="300" w:lineRule="auto"/>
        <w:jc w:val="both"/>
        <w:rPr>
          <w:rFonts w:ascii="Segoe UI" w:hAnsi="Segoe UI" w:cs="Segoe UI"/>
          <w:b/>
          <w:bCs/>
          <w:sz w:val="21"/>
          <w:szCs w:val="21"/>
          <w:lang w:val="en-US"/>
        </w:rPr>
      </w:pPr>
      <w:r w:rsidRPr="00726709">
        <w:rPr>
          <w:rFonts w:ascii="Segoe UI" w:hAnsi="Segoe UI" w:cs="Segoe UI"/>
          <w:b/>
          <w:bCs/>
          <w:sz w:val="21"/>
          <w:szCs w:val="21"/>
          <w:lang w:val="en-US"/>
        </w:rPr>
        <w:t>Key Highlights</w:t>
      </w:r>
    </w:p>
    <w:p w14:paraId="00998C4A" w14:textId="77777777" w:rsidR="00726709" w:rsidRPr="00726709" w:rsidRDefault="00726709" w:rsidP="009D7043">
      <w:pPr>
        <w:numPr>
          <w:ilvl w:val="0"/>
          <w:numId w:val="10"/>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Rising costs and pressure on margins:</w:t>
      </w:r>
      <w:r w:rsidRPr="00726709">
        <w:rPr>
          <w:rFonts w:ascii="Segoe UI" w:hAnsi="Segoe UI" w:cs="Segoe UI"/>
          <w:sz w:val="21"/>
          <w:szCs w:val="21"/>
          <w:lang w:val="en-US"/>
        </w:rPr>
        <w:t xml:space="preserve"> The cost of </w:t>
      </w:r>
      <w:proofErr w:type="spellStart"/>
      <w:r w:rsidRPr="00726709">
        <w:rPr>
          <w:rFonts w:ascii="Segoe UI" w:hAnsi="Segoe UI" w:cs="Segoe UI"/>
          <w:sz w:val="21"/>
          <w:szCs w:val="21"/>
          <w:lang w:val="en-US"/>
        </w:rPr>
        <w:t>fertiliser</w:t>
      </w:r>
      <w:proofErr w:type="spellEnd"/>
      <w:r w:rsidRPr="00726709">
        <w:rPr>
          <w:rFonts w:ascii="Segoe UI" w:hAnsi="Segoe UI" w:cs="Segoe UI"/>
          <w:sz w:val="21"/>
          <w:szCs w:val="21"/>
          <w:lang w:val="en-US"/>
        </w:rPr>
        <w:t xml:space="preserve">, seeds, fuel, and transport has placed sustained pressure on farm and agribusiness margins. Even where input prices begin to soften, storage, logistics, and market access constraints continue to erode returns. </w:t>
      </w:r>
    </w:p>
    <w:p w14:paraId="1DA7A6BC" w14:textId="77777777" w:rsidR="00726709" w:rsidRPr="00726709" w:rsidRDefault="00726709" w:rsidP="009D7043">
      <w:pPr>
        <w:numPr>
          <w:ilvl w:val="0"/>
          <w:numId w:val="10"/>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Weather variability and climate stress:</w:t>
      </w:r>
      <w:r w:rsidRPr="00726709">
        <w:rPr>
          <w:rFonts w:ascii="Segoe UI" w:hAnsi="Segoe UI" w:cs="Segoe UI"/>
          <w:sz w:val="21"/>
          <w:szCs w:val="21"/>
          <w:lang w:val="en-US"/>
        </w:rPr>
        <w:t xml:space="preserve"> Erratic rainfall, drought conditions, and changing temperature patterns are affecting crop planning, output levels, and input decisions. These pressures are forcing businesses to rethink production models and delivery commitments. </w:t>
      </w:r>
    </w:p>
    <w:p w14:paraId="43B44873" w14:textId="77777777" w:rsidR="00726709" w:rsidRPr="00726709" w:rsidRDefault="00726709" w:rsidP="009D7043">
      <w:pPr>
        <w:numPr>
          <w:ilvl w:val="0"/>
          <w:numId w:val="10"/>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Government support and structural weaknesses:</w:t>
      </w:r>
      <w:r w:rsidRPr="00726709">
        <w:rPr>
          <w:rFonts w:ascii="Segoe UI" w:hAnsi="Segoe UI" w:cs="Segoe UI"/>
          <w:sz w:val="21"/>
          <w:szCs w:val="21"/>
          <w:lang w:val="en-US"/>
        </w:rPr>
        <w:t xml:space="preserve"> While public interventions may help reduce input costs, poor infrastructure still limits the ability of producers to convert output into profit. Post-harvest losses remain a major concern. </w:t>
      </w:r>
    </w:p>
    <w:p w14:paraId="764C340F" w14:textId="77777777" w:rsidR="00726709" w:rsidRPr="00726709" w:rsidRDefault="00726709" w:rsidP="009D7043">
      <w:pPr>
        <w:numPr>
          <w:ilvl w:val="0"/>
          <w:numId w:val="10"/>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Resilience and value-chain investment:</w:t>
      </w:r>
      <w:r w:rsidRPr="00726709">
        <w:rPr>
          <w:rFonts w:ascii="Segoe UI" w:hAnsi="Segoe UI" w:cs="Segoe UI"/>
          <w:sz w:val="21"/>
          <w:szCs w:val="21"/>
          <w:lang w:val="en-US"/>
        </w:rPr>
        <w:t xml:space="preserve"> Current policy direction increasingly points to climate resilience, production diversification, and value-chain investment as essential responses to sector pressure. </w:t>
      </w:r>
    </w:p>
    <w:p w14:paraId="64762885" w14:textId="5B503B28" w:rsidR="00726709" w:rsidRPr="00726709" w:rsidRDefault="00726709" w:rsidP="009D7043">
      <w:pPr>
        <w:spacing w:after="0" w:line="300" w:lineRule="auto"/>
        <w:jc w:val="both"/>
        <w:rPr>
          <w:rFonts w:ascii="Segoe UI" w:hAnsi="Segoe UI" w:cs="Segoe UI"/>
          <w:sz w:val="21"/>
          <w:szCs w:val="21"/>
          <w:lang w:val="en-US"/>
        </w:rPr>
      </w:pPr>
    </w:p>
    <w:p w14:paraId="23FD66F0" w14:textId="77777777" w:rsidR="00726709" w:rsidRPr="00726709" w:rsidRDefault="00726709" w:rsidP="009D7043">
      <w:pPr>
        <w:spacing w:after="200" w:line="300" w:lineRule="auto"/>
        <w:jc w:val="both"/>
        <w:rPr>
          <w:rFonts w:ascii="Segoe UI" w:hAnsi="Segoe UI" w:cs="Segoe UI"/>
          <w:b/>
          <w:bCs/>
          <w:sz w:val="21"/>
          <w:szCs w:val="21"/>
          <w:lang w:val="en-US"/>
        </w:rPr>
      </w:pPr>
      <w:r w:rsidRPr="00726709">
        <w:rPr>
          <w:rFonts w:ascii="Segoe UI" w:hAnsi="Segoe UI" w:cs="Segoe UI"/>
          <w:b/>
          <w:bCs/>
          <w:sz w:val="21"/>
          <w:szCs w:val="21"/>
          <w:lang w:val="en-US"/>
        </w:rPr>
        <w:t>Implications for Stakeholders</w:t>
      </w:r>
    </w:p>
    <w:p w14:paraId="4B62B8E3" w14:textId="77777777" w:rsidR="00726709" w:rsidRPr="00726709" w:rsidRDefault="00726709" w:rsidP="009D7043">
      <w:pPr>
        <w:numPr>
          <w:ilvl w:val="0"/>
          <w:numId w:val="11"/>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Profitability pressure and contract risk:</w:t>
      </w:r>
      <w:r w:rsidRPr="00726709">
        <w:rPr>
          <w:rFonts w:ascii="Segoe UI" w:hAnsi="Segoe UI" w:cs="Segoe UI"/>
          <w:sz w:val="21"/>
          <w:szCs w:val="21"/>
          <w:lang w:val="en-US"/>
        </w:rPr>
        <w:t xml:space="preserve"> Rising costs do not only squeeze margins; they also affect supply contracts, pricing commitments, delivery timelines, and default risk across the chain. Agribusinesses should review how cost increases and weather disruption are treated in their commercial agreements. </w:t>
      </w:r>
    </w:p>
    <w:p w14:paraId="255BC30B" w14:textId="77777777" w:rsidR="00726709" w:rsidRPr="00726709" w:rsidRDefault="00726709" w:rsidP="009D7043">
      <w:pPr>
        <w:numPr>
          <w:ilvl w:val="0"/>
          <w:numId w:val="11"/>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Operational uncertainty and financing pressure:</w:t>
      </w:r>
      <w:r w:rsidRPr="00726709">
        <w:rPr>
          <w:rFonts w:ascii="Segoe UI" w:hAnsi="Segoe UI" w:cs="Segoe UI"/>
          <w:sz w:val="21"/>
          <w:szCs w:val="21"/>
          <w:lang w:val="en-US"/>
        </w:rPr>
        <w:t xml:space="preserve"> Unpredictable weather makes it harder to plan output, manage working capital, and meet repayment or performance obligations. This has implications for loan structures, collateral arrangements, and insurance coverage. </w:t>
      </w:r>
    </w:p>
    <w:p w14:paraId="4C564A06" w14:textId="77777777" w:rsidR="00726709" w:rsidRPr="00726709" w:rsidRDefault="00726709" w:rsidP="009D7043">
      <w:pPr>
        <w:numPr>
          <w:ilvl w:val="0"/>
          <w:numId w:val="11"/>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lastRenderedPageBreak/>
        <w:t>Need for stronger legal and regulatory planning:</w:t>
      </w:r>
      <w:r w:rsidRPr="00726709">
        <w:rPr>
          <w:rFonts w:ascii="Segoe UI" w:hAnsi="Segoe UI" w:cs="Segoe UI"/>
          <w:sz w:val="21"/>
          <w:szCs w:val="21"/>
          <w:lang w:val="en-US"/>
        </w:rPr>
        <w:t xml:space="preserve"> As businesses turn to subsidies, credit support, or public programmes, the terms of access, compliance conditions, and reporting obligations become increasingly important. </w:t>
      </w:r>
    </w:p>
    <w:p w14:paraId="25629788" w14:textId="77777777" w:rsidR="00726709" w:rsidRPr="00726709" w:rsidRDefault="00726709" w:rsidP="009D7043">
      <w:pPr>
        <w:numPr>
          <w:ilvl w:val="0"/>
          <w:numId w:val="11"/>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Investment risk and opportunity:</w:t>
      </w:r>
      <w:r w:rsidRPr="00726709">
        <w:rPr>
          <w:rFonts w:ascii="Segoe UI" w:hAnsi="Segoe UI" w:cs="Segoe UI"/>
          <w:sz w:val="21"/>
          <w:szCs w:val="21"/>
          <w:lang w:val="en-US"/>
        </w:rPr>
        <w:t xml:space="preserve"> Cost volatility and climate exposure create obvious risk, but they also increase the legal and commercial relevance of </w:t>
      </w:r>
      <w:proofErr w:type="spellStart"/>
      <w:r w:rsidRPr="00726709">
        <w:rPr>
          <w:rFonts w:ascii="Segoe UI" w:hAnsi="Segoe UI" w:cs="Segoe UI"/>
          <w:sz w:val="21"/>
          <w:szCs w:val="21"/>
          <w:lang w:val="en-US"/>
        </w:rPr>
        <w:t>agritech</w:t>
      </w:r>
      <w:proofErr w:type="spellEnd"/>
      <w:r w:rsidRPr="00726709">
        <w:rPr>
          <w:rFonts w:ascii="Segoe UI" w:hAnsi="Segoe UI" w:cs="Segoe UI"/>
          <w:sz w:val="21"/>
          <w:szCs w:val="21"/>
          <w:lang w:val="en-US"/>
        </w:rPr>
        <w:t xml:space="preserve">, warehousing, logistics, insurance, and structured supply-chain investments. </w:t>
      </w:r>
    </w:p>
    <w:p w14:paraId="525BFD98" w14:textId="7ED20D2C" w:rsidR="00726709" w:rsidRPr="00726709" w:rsidRDefault="00726709" w:rsidP="000E7B0E">
      <w:pPr>
        <w:spacing w:after="0" w:line="300" w:lineRule="auto"/>
        <w:jc w:val="both"/>
        <w:rPr>
          <w:rFonts w:ascii="Segoe UI" w:hAnsi="Segoe UI" w:cs="Segoe UI"/>
          <w:sz w:val="21"/>
          <w:szCs w:val="21"/>
          <w:lang w:val="en-US"/>
        </w:rPr>
      </w:pPr>
    </w:p>
    <w:p w14:paraId="2E1C8B1C" w14:textId="77777777" w:rsidR="00726709" w:rsidRPr="00726709" w:rsidRDefault="00726709" w:rsidP="009D7043">
      <w:pPr>
        <w:spacing w:after="200" w:line="300" w:lineRule="auto"/>
        <w:jc w:val="both"/>
        <w:rPr>
          <w:rFonts w:ascii="Segoe UI" w:hAnsi="Segoe UI" w:cs="Segoe UI"/>
          <w:b/>
          <w:bCs/>
          <w:sz w:val="21"/>
          <w:szCs w:val="21"/>
          <w:lang w:val="en-US"/>
        </w:rPr>
      </w:pPr>
      <w:r w:rsidRPr="00726709">
        <w:rPr>
          <w:rFonts w:ascii="Segoe UI" w:hAnsi="Segoe UI" w:cs="Segoe UI"/>
          <w:b/>
          <w:bCs/>
          <w:sz w:val="21"/>
          <w:szCs w:val="21"/>
          <w:lang w:val="en-US"/>
        </w:rPr>
        <w:t>Strategies for Mitigation and Survival</w:t>
      </w:r>
    </w:p>
    <w:p w14:paraId="18117150" w14:textId="77777777" w:rsidR="00726709" w:rsidRPr="00726709" w:rsidRDefault="00726709" w:rsidP="009D7043">
      <w:pPr>
        <w:numPr>
          <w:ilvl w:val="0"/>
          <w:numId w:val="12"/>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Contractual protection:</w:t>
      </w:r>
      <w:r w:rsidRPr="00726709">
        <w:rPr>
          <w:rFonts w:ascii="Segoe UI" w:hAnsi="Segoe UI" w:cs="Segoe UI"/>
          <w:sz w:val="21"/>
          <w:szCs w:val="21"/>
          <w:lang w:val="en-US"/>
        </w:rPr>
        <w:t xml:space="preserve"> Agribusinesses should review procurement, offtake, transport, warehousing, and supply agreements to ensure that pricing variation, force majeure</w:t>
      </w:r>
      <w:proofErr w:type="gramStart"/>
      <w:r w:rsidRPr="00726709">
        <w:rPr>
          <w:rFonts w:ascii="Segoe UI" w:hAnsi="Segoe UI" w:cs="Segoe UI"/>
          <w:sz w:val="21"/>
          <w:szCs w:val="21"/>
          <w:lang w:val="en-US"/>
        </w:rPr>
        <w:t>, delivery</w:t>
      </w:r>
      <w:proofErr w:type="gramEnd"/>
      <w:r w:rsidRPr="00726709">
        <w:rPr>
          <w:rFonts w:ascii="Segoe UI" w:hAnsi="Segoe UI" w:cs="Segoe UI"/>
          <w:sz w:val="21"/>
          <w:szCs w:val="21"/>
          <w:lang w:val="en-US"/>
        </w:rPr>
        <w:t xml:space="preserve"> delays, quality standards, and liability are clearly allocated. </w:t>
      </w:r>
    </w:p>
    <w:p w14:paraId="352108BC" w14:textId="77777777" w:rsidR="00726709" w:rsidRPr="00726709" w:rsidRDefault="00726709" w:rsidP="009D7043">
      <w:pPr>
        <w:numPr>
          <w:ilvl w:val="0"/>
          <w:numId w:val="12"/>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Financing and insurance review:</w:t>
      </w:r>
      <w:r w:rsidRPr="00726709">
        <w:rPr>
          <w:rFonts w:ascii="Segoe UI" w:hAnsi="Segoe UI" w:cs="Segoe UI"/>
          <w:sz w:val="21"/>
          <w:szCs w:val="21"/>
          <w:lang w:val="en-US"/>
        </w:rPr>
        <w:t xml:space="preserve"> Weather-index insurance, supply-chain finance, and seasonal credit support can improve resilience, but businesses should assess policy scope, exclusions, repayment triggers, and enforcement terms carefully. </w:t>
      </w:r>
    </w:p>
    <w:p w14:paraId="4F58D542" w14:textId="77777777" w:rsidR="00726709" w:rsidRPr="00726709" w:rsidRDefault="00726709" w:rsidP="009D7043">
      <w:pPr>
        <w:numPr>
          <w:ilvl w:val="0"/>
          <w:numId w:val="12"/>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Regulatory and land-use diligence:</w:t>
      </w:r>
      <w:r w:rsidRPr="00726709">
        <w:rPr>
          <w:rFonts w:ascii="Segoe UI" w:hAnsi="Segoe UI" w:cs="Segoe UI"/>
          <w:sz w:val="21"/>
          <w:szCs w:val="21"/>
          <w:lang w:val="en-US"/>
        </w:rPr>
        <w:t xml:space="preserve"> Expansion into irrigation, </w:t>
      </w:r>
      <w:proofErr w:type="spellStart"/>
      <w:r w:rsidRPr="00726709">
        <w:rPr>
          <w:rFonts w:ascii="Segoe UI" w:hAnsi="Segoe UI" w:cs="Segoe UI"/>
          <w:sz w:val="21"/>
          <w:szCs w:val="21"/>
          <w:lang w:val="en-US"/>
        </w:rPr>
        <w:t>mechanisation</w:t>
      </w:r>
      <w:proofErr w:type="spellEnd"/>
      <w:r w:rsidRPr="00726709">
        <w:rPr>
          <w:rFonts w:ascii="Segoe UI" w:hAnsi="Segoe UI" w:cs="Segoe UI"/>
          <w:sz w:val="21"/>
          <w:szCs w:val="21"/>
          <w:lang w:val="en-US"/>
        </w:rPr>
        <w:t xml:space="preserve">, or new production clusters should be supported by proper due diligence on land rights, permits, environmental exposure, and local operating arrangements. </w:t>
      </w:r>
    </w:p>
    <w:p w14:paraId="1DFA3153" w14:textId="77777777" w:rsidR="00726709" w:rsidRPr="00726709" w:rsidRDefault="00726709" w:rsidP="009D7043">
      <w:pPr>
        <w:numPr>
          <w:ilvl w:val="0"/>
          <w:numId w:val="12"/>
        </w:numPr>
        <w:spacing w:after="200" w:line="300" w:lineRule="auto"/>
        <w:jc w:val="both"/>
        <w:rPr>
          <w:rFonts w:ascii="Segoe UI" w:hAnsi="Segoe UI" w:cs="Segoe UI"/>
          <w:sz w:val="21"/>
          <w:szCs w:val="21"/>
          <w:lang w:val="en-US"/>
        </w:rPr>
      </w:pPr>
      <w:r w:rsidRPr="00726709">
        <w:rPr>
          <w:rFonts w:ascii="Segoe UI" w:hAnsi="Segoe UI" w:cs="Segoe UI"/>
          <w:b/>
          <w:bCs/>
          <w:sz w:val="21"/>
          <w:szCs w:val="21"/>
          <w:lang w:val="en-US"/>
        </w:rPr>
        <w:t>Partnership planning:</w:t>
      </w:r>
      <w:r w:rsidRPr="00726709">
        <w:rPr>
          <w:rFonts w:ascii="Segoe UI" w:hAnsi="Segoe UI" w:cs="Segoe UI"/>
          <w:sz w:val="21"/>
          <w:szCs w:val="21"/>
          <w:lang w:val="en-US"/>
        </w:rPr>
        <w:t xml:space="preserve"> Collaboration with government, DFIs, cooperatives, and private investors should be documented through bankable structures that clearly define obligations, risk allocation, and exit rights. </w:t>
      </w:r>
    </w:p>
    <w:p w14:paraId="224309A8" w14:textId="5052429B" w:rsidR="00726709" w:rsidRPr="00726709" w:rsidRDefault="00726709" w:rsidP="00C36752">
      <w:pPr>
        <w:spacing w:after="0" w:line="300" w:lineRule="auto"/>
        <w:jc w:val="both"/>
        <w:rPr>
          <w:rFonts w:ascii="Segoe UI" w:hAnsi="Segoe UI" w:cs="Segoe UI"/>
          <w:sz w:val="21"/>
          <w:szCs w:val="21"/>
          <w:lang w:val="en-US"/>
        </w:rPr>
      </w:pPr>
    </w:p>
    <w:p w14:paraId="00D636F8" w14:textId="77777777" w:rsidR="00726709" w:rsidRPr="00726709" w:rsidRDefault="00726709" w:rsidP="009D7043">
      <w:pPr>
        <w:spacing w:after="200" w:line="300" w:lineRule="auto"/>
        <w:jc w:val="both"/>
        <w:rPr>
          <w:rFonts w:ascii="Segoe UI" w:hAnsi="Segoe UI" w:cs="Segoe UI"/>
          <w:b/>
          <w:bCs/>
          <w:sz w:val="21"/>
          <w:szCs w:val="21"/>
          <w:lang w:val="en-US"/>
        </w:rPr>
      </w:pPr>
      <w:r w:rsidRPr="00726709">
        <w:rPr>
          <w:rFonts w:ascii="Segoe UI" w:hAnsi="Segoe UI" w:cs="Segoe UI"/>
          <w:b/>
          <w:bCs/>
          <w:sz w:val="21"/>
          <w:szCs w:val="21"/>
          <w:lang w:val="en-US"/>
        </w:rPr>
        <w:t>The Road Forward for Agribusinesses</w:t>
      </w:r>
    </w:p>
    <w:p w14:paraId="35077FC4" w14:textId="77777777" w:rsidR="00726709" w:rsidRPr="00726709" w:rsidRDefault="00726709" w:rsidP="009D7043">
      <w:pPr>
        <w:spacing w:after="200" w:line="300" w:lineRule="auto"/>
        <w:jc w:val="both"/>
        <w:rPr>
          <w:rFonts w:ascii="Segoe UI" w:hAnsi="Segoe UI" w:cs="Segoe UI"/>
          <w:sz w:val="21"/>
          <w:szCs w:val="21"/>
          <w:lang w:val="en-US"/>
        </w:rPr>
      </w:pPr>
      <w:r w:rsidRPr="00726709">
        <w:rPr>
          <w:rFonts w:ascii="Segoe UI" w:hAnsi="Segoe UI" w:cs="Segoe UI"/>
          <w:sz w:val="21"/>
          <w:szCs w:val="21"/>
          <w:lang w:val="en-US"/>
        </w:rPr>
        <w:t>The outlook for Nigeria’s agricultural sector will depend not only on whether input costs ease, but on how well businesses protect themselves against climate disruption, supply chain weakness, and commercial uncertainty. For agribusinesses and investors alike, resilience now requires legal as well as operational planning.</w:t>
      </w:r>
    </w:p>
    <w:p w14:paraId="7BBD5A77" w14:textId="06FD036C" w:rsidR="00726709" w:rsidRPr="00726709" w:rsidRDefault="00726709" w:rsidP="009D7043">
      <w:pPr>
        <w:spacing w:after="200" w:line="300" w:lineRule="auto"/>
        <w:jc w:val="both"/>
        <w:rPr>
          <w:rFonts w:ascii="Segoe UI" w:hAnsi="Segoe UI" w:cs="Segoe UI"/>
          <w:sz w:val="21"/>
          <w:szCs w:val="21"/>
          <w:lang w:val="en-US"/>
        </w:rPr>
      </w:pPr>
      <w:r w:rsidRPr="00726709">
        <w:rPr>
          <w:rFonts w:ascii="Segoe UI" w:hAnsi="Segoe UI" w:cs="Segoe UI"/>
          <w:sz w:val="21"/>
          <w:szCs w:val="21"/>
          <w:lang w:val="en-US"/>
        </w:rPr>
        <w:t xml:space="preserve">For guidance on agribusiness contracts, climate-related operational risk, project structuring, and investment support across the agricultural value chain, contact </w:t>
      </w:r>
      <w:hyperlink r:id="rId7" w:history="1">
        <w:r w:rsidR="00C36752" w:rsidRPr="00726709">
          <w:rPr>
            <w:rStyle w:val="Hyperlink"/>
            <w:rFonts w:ascii="Segoe UI" w:hAnsi="Segoe UI" w:cs="Segoe UI"/>
            <w:b/>
            <w:bCs/>
            <w:sz w:val="21"/>
            <w:szCs w:val="21"/>
            <w:lang w:val="en-US"/>
          </w:rPr>
          <w:t>info@scp-law.com</w:t>
        </w:r>
      </w:hyperlink>
      <w:r w:rsidR="00C36752" w:rsidRPr="00991E12">
        <w:rPr>
          <w:rFonts w:ascii="Segoe UI" w:hAnsi="Segoe UI" w:cs="Segoe UI"/>
          <w:b/>
          <w:bCs/>
          <w:sz w:val="21"/>
          <w:szCs w:val="21"/>
          <w:lang w:val="en-US"/>
        </w:rPr>
        <w:t xml:space="preserve"> </w:t>
      </w:r>
      <w:r w:rsidRPr="00726709">
        <w:rPr>
          <w:rFonts w:ascii="Segoe UI" w:hAnsi="Segoe UI" w:cs="Segoe UI"/>
          <w:sz w:val="21"/>
          <w:szCs w:val="21"/>
          <w:lang w:val="en-US"/>
        </w:rPr>
        <w:t xml:space="preserve">or visit </w:t>
      </w:r>
      <w:hyperlink r:id="rId8" w:tgtFrame="_new" w:history="1">
        <w:r w:rsidRPr="00726709">
          <w:rPr>
            <w:rStyle w:val="Hyperlink"/>
            <w:rFonts w:ascii="Segoe UI" w:hAnsi="Segoe UI" w:cs="Segoe UI"/>
            <w:b/>
            <w:bCs/>
            <w:sz w:val="21"/>
            <w:szCs w:val="21"/>
            <w:lang w:val="en-US"/>
          </w:rPr>
          <w:t>www.scp-law.com</w:t>
        </w:r>
      </w:hyperlink>
      <w:r w:rsidRPr="00726709">
        <w:rPr>
          <w:rFonts w:ascii="Segoe UI" w:hAnsi="Segoe UI" w:cs="Segoe UI"/>
          <w:sz w:val="21"/>
          <w:szCs w:val="21"/>
          <w:lang w:val="en-US"/>
        </w:rPr>
        <w:t>.</w:t>
      </w:r>
    </w:p>
    <w:p w14:paraId="4EBFDC65" w14:textId="397D29F2" w:rsidR="00161CDE" w:rsidRPr="00991E12" w:rsidRDefault="00161CDE" w:rsidP="009D7043">
      <w:pPr>
        <w:spacing w:after="200" w:line="300" w:lineRule="auto"/>
        <w:jc w:val="both"/>
        <w:rPr>
          <w:rFonts w:ascii="Segoe UI" w:hAnsi="Segoe UI" w:cs="Segoe UI"/>
          <w:sz w:val="21"/>
          <w:szCs w:val="21"/>
          <w:lang w:val="en-US"/>
        </w:rPr>
      </w:pPr>
    </w:p>
    <w:sectPr w:rsidR="00161CDE" w:rsidRPr="00991E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D094" w14:textId="77777777" w:rsidR="002F197B" w:rsidRDefault="002F197B" w:rsidP="00C02F2D">
      <w:pPr>
        <w:spacing w:after="0" w:line="240" w:lineRule="auto"/>
      </w:pPr>
      <w:r>
        <w:separator/>
      </w:r>
    </w:p>
  </w:endnote>
  <w:endnote w:type="continuationSeparator" w:id="0">
    <w:p w14:paraId="4D919F7B" w14:textId="77777777" w:rsidR="002F197B" w:rsidRDefault="002F197B" w:rsidP="00C0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8642842"/>
      <w:docPartObj>
        <w:docPartGallery w:val="Page Numbers (Bottom of Page)"/>
        <w:docPartUnique/>
      </w:docPartObj>
    </w:sdtPr>
    <w:sdtEndPr>
      <w:rPr>
        <w:color w:val="7F7F7F" w:themeColor="background1" w:themeShade="7F"/>
        <w:spacing w:val="60"/>
      </w:rPr>
    </w:sdtEndPr>
    <w:sdtContent>
      <w:p w14:paraId="357A78EC" w14:textId="7E74C653" w:rsidR="00C02F2D" w:rsidRPr="005760CD" w:rsidRDefault="00C02F2D">
        <w:pPr>
          <w:pStyle w:val="Footer"/>
          <w:pBdr>
            <w:top w:val="single" w:sz="4" w:space="1" w:color="D9D9D9" w:themeColor="background1" w:themeShade="D9"/>
          </w:pBdr>
          <w:rPr>
            <w:b/>
            <w:bCs/>
            <w:sz w:val="22"/>
            <w:szCs w:val="22"/>
          </w:rPr>
        </w:pPr>
        <w:r w:rsidRPr="005760CD">
          <w:rPr>
            <w:sz w:val="22"/>
            <w:szCs w:val="22"/>
          </w:rPr>
          <w:fldChar w:fldCharType="begin"/>
        </w:r>
        <w:r w:rsidRPr="005760CD">
          <w:rPr>
            <w:sz w:val="22"/>
            <w:szCs w:val="22"/>
          </w:rPr>
          <w:instrText xml:space="preserve"> PAGE   \* MERGEFORMAT </w:instrText>
        </w:r>
        <w:r w:rsidRPr="005760CD">
          <w:rPr>
            <w:sz w:val="22"/>
            <w:szCs w:val="22"/>
          </w:rPr>
          <w:fldChar w:fldCharType="separate"/>
        </w:r>
        <w:r w:rsidRPr="005760CD">
          <w:rPr>
            <w:b/>
            <w:bCs/>
            <w:noProof/>
            <w:sz w:val="22"/>
            <w:szCs w:val="22"/>
          </w:rPr>
          <w:t>2</w:t>
        </w:r>
        <w:r w:rsidRPr="005760CD">
          <w:rPr>
            <w:b/>
            <w:bCs/>
            <w:noProof/>
            <w:sz w:val="22"/>
            <w:szCs w:val="22"/>
          </w:rPr>
          <w:fldChar w:fldCharType="end"/>
        </w:r>
        <w:r w:rsidRPr="005760CD">
          <w:rPr>
            <w:b/>
            <w:bCs/>
            <w:sz w:val="22"/>
            <w:szCs w:val="22"/>
          </w:rPr>
          <w:t xml:space="preserve"> | </w:t>
        </w:r>
        <w:r w:rsidRPr="005760CD">
          <w:rPr>
            <w:color w:val="7F7F7F" w:themeColor="background1" w:themeShade="7F"/>
            <w:spacing w:val="60"/>
            <w:sz w:val="22"/>
            <w:szCs w:val="22"/>
          </w:rPr>
          <w:t xml:space="preserve">Page </w:t>
        </w:r>
        <w:r w:rsidR="005760CD">
          <w:rPr>
            <w:color w:val="7F7F7F" w:themeColor="background1" w:themeShade="7F"/>
            <w:spacing w:val="60"/>
            <w:sz w:val="22"/>
            <w:szCs w:val="22"/>
          </w:rPr>
          <w:tab/>
        </w:r>
        <w:r w:rsidR="005760CD">
          <w:rPr>
            <w:color w:val="7F7F7F" w:themeColor="background1" w:themeShade="7F"/>
            <w:spacing w:val="60"/>
            <w:sz w:val="22"/>
            <w:szCs w:val="22"/>
          </w:rPr>
          <w:tab/>
        </w:r>
        <w:r w:rsidR="005760CD" w:rsidRPr="005760CD">
          <w:rPr>
            <w:color w:val="7F7F7F" w:themeColor="background1" w:themeShade="7F"/>
            <w:spacing w:val="60"/>
            <w:sz w:val="22"/>
            <w:szCs w:val="22"/>
          </w:rPr>
          <w:t>www.scp-law.com</w:t>
        </w:r>
      </w:p>
    </w:sdtContent>
  </w:sdt>
  <w:p w14:paraId="38284A3E" w14:textId="77777777" w:rsidR="00C02F2D" w:rsidRPr="005760CD" w:rsidRDefault="00C02F2D">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92A4" w14:textId="77777777" w:rsidR="002F197B" w:rsidRDefault="002F197B" w:rsidP="00C02F2D">
      <w:pPr>
        <w:spacing w:after="0" w:line="240" w:lineRule="auto"/>
      </w:pPr>
      <w:r>
        <w:separator/>
      </w:r>
    </w:p>
  </w:footnote>
  <w:footnote w:type="continuationSeparator" w:id="0">
    <w:p w14:paraId="2442A375" w14:textId="77777777" w:rsidR="002F197B" w:rsidRDefault="002F197B" w:rsidP="00C02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C95"/>
    <w:multiLevelType w:val="multilevel"/>
    <w:tmpl w:val="D9A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6209"/>
    <w:multiLevelType w:val="multilevel"/>
    <w:tmpl w:val="9EA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94504"/>
    <w:multiLevelType w:val="multilevel"/>
    <w:tmpl w:val="D99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E0483"/>
    <w:multiLevelType w:val="multilevel"/>
    <w:tmpl w:val="783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66F"/>
    <w:multiLevelType w:val="multilevel"/>
    <w:tmpl w:val="EF7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279FD"/>
    <w:multiLevelType w:val="hybridMultilevel"/>
    <w:tmpl w:val="9EDA8CD8"/>
    <w:lvl w:ilvl="0" w:tplc="BB506F2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0822228"/>
    <w:multiLevelType w:val="multilevel"/>
    <w:tmpl w:val="425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364301"/>
    <w:multiLevelType w:val="multilevel"/>
    <w:tmpl w:val="6E08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0626B"/>
    <w:multiLevelType w:val="multilevel"/>
    <w:tmpl w:val="EAB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11CBC"/>
    <w:multiLevelType w:val="hybridMultilevel"/>
    <w:tmpl w:val="0CFA1AFE"/>
    <w:lvl w:ilvl="0" w:tplc="9F480DD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3537656"/>
    <w:multiLevelType w:val="multilevel"/>
    <w:tmpl w:val="1D72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539A6"/>
    <w:multiLevelType w:val="hybridMultilevel"/>
    <w:tmpl w:val="0F0A729E"/>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80251447">
    <w:abstractNumId w:val="11"/>
  </w:num>
  <w:num w:numId="2" w16cid:durableId="2069573040">
    <w:abstractNumId w:val="9"/>
  </w:num>
  <w:num w:numId="3" w16cid:durableId="1361274282">
    <w:abstractNumId w:val="7"/>
  </w:num>
  <w:num w:numId="4" w16cid:durableId="1204513215">
    <w:abstractNumId w:val="10"/>
  </w:num>
  <w:num w:numId="5" w16cid:durableId="1240363578">
    <w:abstractNumId w:val="2"/>
  </w:num>
  <w:num w:numId="6" w16cid:durableId="1359549102">
    <w:abstractNumId w:val="5"/>
  </w:num>
  <w:num w:numId="7" w16cid:durableId="94404322">
    <w:abstractNumId w:val="6"/>
  </w:num>
  <w:num w:numId="8" w16cid:durableId="1459639491">
    <w:abstractNumId w:val="8"/>
  </w:num>
  <w:num w:numId="9" w16cid:durableId="357315767">
    <w:abstractNumId w:val="3"/>
  </w:num>
  <w:num w:numId="10" w16cid:durableId="239684282">
    <w:abstractNumId w:val="1"/>
  </w:num>
  <w:num w:numId="11" w16cid:durableId="1443575707">
    <w:abstractNumId w:val="4"/>
  </w:num>
  <w:num w:numId="12" w16cid:durableId="168763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7A"/>
    <w:rsid w:val="000244A7"/>
    <w:rsid w:val="000A577D"/>
    <w:rsid w:val="000B2EFF"/>
    <w:rsid w:val="000E7B0E"/>
    <w:rsid w:val="00110C18"/>
    <w:rsid w:val="00161CDE"/>
    <w:rsid w:val="001823F9"/>
    <w:rsid w:val="001F5DE9"/>
    <w:rsid w:val="002740CB"/>
    <w:rsid w:val="002A6FA1"/>
    <w:rsid w:val="002F197B"/>
    <w:rsid w:val="00353CE1"/>
    <w:rsid w:val="00357B6A"/>
    <w:rsid w:val="003654D9"/>
    <w:rsid w:val="0037017A"/>
    <w:rsid w:val="00392242"/>
    <w:rsid w:val="00415AED"/>
    <w:rsid w:val="00423946"/>
    <w:rsid w:val="00467495"/>
    <w:rsid w:val="00467BAC"/>
    <w:rsid w:val="00487503"/>
    <w:rsid w:val="004C6C0B"/>
    <w:rsid w:val="00562655"/>
    <w:rsid w:val="005760CD"/>
    <w:rsid w:val="00586033"/>
    <w:rsid w:val="005970D5"/>
    <w:rsid w:val="006414BD"/>
    <w:rsid w:val="006476DC"/>
    <w:rsid w:val="00655C92"/>
    <w:rsid w:val="006D7BBF"/>
    <w:rsid w:val="006F5C04"/>
    <w:rsid w:val="006F6929"/>
    <w:rsid w:val="00726709"/>
    <w:rsid w:val="00727AF3"/>
    <w:rsid w:val="00765702"/>
    <w:rsid w:val="00774AAF"/>
    <w:rsid w:val="00794EE9"/>
    <w:rsid w:val="008443E2"/>
    <w:rsid w:val="00877B3B"/>
    <w:rsid w:val="00882995"/>
    <w:rsid w:val="009155A2"/>
    <w:rsid w:val="00960DFD"/>
    <w:rsid w:val="0098710E"/>
    <w:rsid w:val="00991E12"/>
    <w:rsid w:val="009C6B79"/>
    <w:rsid w:val="009D7043"/>
    <w:rsid w:val="00A233D2"/>
    <w:rsid w:val="00A306E6"/>
    <w:rsid w:val="00A33D0A"/>
    <w:rsid w:val="00A715E3"/>
    <w:rsid w:val="00A87691"/>
    <w:rsid w:val="00A90C60"/>
    <w:rsid w:val="00AB4E37"/>
    <w:rsid w:val="00AD44D2"/>
    <w:rsid w:val="00B6390B"/>
    <w:rsid w:val="00B945C3"/>
    <w:rsid w:val="00BA7971"/>
    <w:rsid w:val="00C02F2D"/>
    <w:rsid w:val="00C36752"/>
    <w:rsid w:val="00C943A0"/>
    <w:rsid w:val="00D012AA"/>
    <w:rsid w:val="00D03C81"/>
    <w:rsid w:val="00D153FC"/>
    <w:rsid w:val="00D46A64"/>
    <w:rsid w:val="00D70609"/>
    <w:rsid w:val="00E0314A"/>
    <w:rsid w:val="00E0745F"/>
    <w:rsid w:val="00ED2B0E"/>
    <w:rsid w:val="00EE299F"/>
    <w:rsid w:val="00F61AF5"/>
    <w:rsid w:val="00FC4E97"/>
    <w:rsid w:val="00FE4985"/>
    <w:rsid w:val="00FF7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9E12"/>
  <w15:chartTrackingRefBased/>
  <w15:docId w15:val="{3AA55CC4-8095-42F2-A591-D7F9AC51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70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7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7017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7017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7017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7017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7017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7017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7017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7017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70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17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70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17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7017A"/>
    <w:pPr>
      <w:spacing w:before="160"/>
      <w:jc w:val="center"/>
    </w:pPr>
    <w:rPr>
      <w:i/>
      <w:iCs/>
      <w:color w:val="404040" w:themeColor="text1" w:themeTint="BF"/>
    </w:rPr>
  </w:style>
  <w:style w:type="character" w:customStyle="1" w:styleId="QuoteChar">
    <w:name w:val="Quote Char"/>
    <w:basedOn w:val="DefaultParagraphFont"/>
    <w:link w:val="Quote"/>
    <w:uiPriority w:val="29"/>
    <w:rsid w:val="0037017A"/>
    <w:rPr>
      <w:i/>
      <w:iCs/>
      <w:color w:val="404040" w:themeColor="text1" w:themeTint="BF"/>
      <w:lang w:val="en-GB"/>
    </w:rPr>
  </w:style>
  <w:style w:type="paragraph" w:styleId="ListParagraph">
    <w:name w:val="List Paragraph"/>
    <w:basedOn w:val="Normal"/>
    <w:uiPriority w:val="34"/>
    <w:qFormat/>
    <w:rsid w:val="0037017A"/>
    <w:pPr>
      <w:ind w:left="720"/>
      <w:contextualSpacing/>
    </w:pPr>
  </w:style>
  <w:style w:type="character" w:styleId="IntenseEmphasis">
    <w:name w:val="Intense Emphasis"/>
    <w:basedOn w:val="DefaultParagraphFont"/>
    <w:uiPriority w:val="21"/>
    <w:qFormat/>
    <w:rsid w:val="0037017A"/>
    <w:rPr>
      <w:i/>
      <w:iCs/>
      <w:color w:val="0F4761" w:themeColor="accent1" w:themeShade="BF"/>
    </w:rPr>
  </w:style>
  <w:style w:type="paragraph" w:styleId="IntenseQuote">
    <w:name w:val="Intense Quote"/>
    <w:basedOn w:val="Normal"/>
    <w:next w:val="Normal"/>
    <w:link w:val="IntenseQuoteChar"/>
    <w:uiPriority w:val="30"/>
    <w:qFormat/>
    <w:rsid w:val="00370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17A"/>
    <w:rPr>
      <w:i/>
      <w:iCs/>
      <w:color w:val="0F4761" w:themeColor="accent1" w:themeShade="BF"/>
      <w:lang w:val="en-GB"/>
    </w:rPr>
  </w:style>
  <w:style w:type="character" w:styleId="IntenseReference">
    <w:name w:val="Intense Reference"/>
    <w:basedOn w:val="DefaultParagraphFont"/>
    <w:uiPriority w:val="32"/>
    <w:qFormat/>
    <w:rsid w:val="0037017A"/>
    <w:rPr>
      <w:b/>
      <w:bCs/>
      <w:smallCaps/>
      <w:color w:val="0F4761" w:themeColor="accent1" w:themeShade="BF"/>
      <w:spacing w:val="5"/>
    </w:rPr>
  </w:style>
  <w:style w:type="paragraph" w:styleId="Header">
    <w:name w:val="header"/>
    <w:basedOn w:val="Normal"/>
    <w:link w:val="HeaderChar"/>
    <w:uiPriority w:val="99"/>
    <w:unhideWhenUsed/>
    <w:rsid w:val="00C02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F2D"/>
    <w:rPr>
      <w:lang w:val="en-GB"/>
    </w:rPr>
  </w:style>
  <w:style w:type="paragraph" w:styleId="Footer">
    <w:name w:val="footer"/>
    <w:basedOn w:val="Normal"/>
    <w:link w:val="FooterChar"/>
    <w:uiPriority w:val="99"/>
    <w:unhideWhenUsed/>
    <w:rsid w:val="00C02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F2D"/>
    <w:rPr>
      <w:lang w:val="en-GB"/>
    </w:rPr>
  </w:style>
  <w:style w:type="character" w:styleId="Hyperlink">
    <w:name w:val="Hyperlink"/>
    <w:basedOn w:val="DefaultParagraphFont"/>
    <w:uiPriority w:val="99"/>
    <w:unhideWhenUsed/>
    <w:rsid w:val="00586033"/>
    <w:rPr>
      <w:color w:val="467886" w:themeColor="hyperlink"/>
      <w:u w:val="single"/>
    </w:rPr>
  </w:style>
  <w:style w:type="paragraph" w:styleId="NormalWeb">
    <w:name w:val="Normal (Web)"/>
    <w:basedOn w:val="Normal"/>
    <w:uiPriority w:val="99"/>
    <w:semiHidden/>
    <w:unhideWhenUsed/>
    <w:rsid w:val="004C6C0B"/>
    <w:rPr>
      <w:rFonts w:ascii="Times New Roman" w:hAnsi="Times New Roman" w:cs="Times New Roman"/>
    </w:rPr>
  </w:style>
  <w:style w:type="character" w:styleId="UnresolvedMention">
    <w:name w:val="Unresolved Mention"/>
    <w:basedOn w:val="DefaultParagraphFont"/>
    <w:uiPriority w:val="99"/>
    <w:semiHidden/>
    <w:unhideWhenUsed/>
    <w:rsid w:val="00FC4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p-law.com" TargetMode="External"/><Relationship Id="rId3" Type="http://schemas.openxmlformats.org/officeDocument/2006/relationships/settings" Target="settings.xml"/><Relationship Id="rId7" Type="http://schemas.openxmlformats.org/officeDocument/2006/relationships/hyperlink" Target="mailto:info@scp-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SimmonsCooper Partners</dc:creator>
  <cp:keywords/>
  <dc:description/>
  <cp:lastModifiedBy>SimmonsCooper Partners</cp:lastModifiedBy>
  <cp:revision>57</cp:revision>
  <dcterms:created xsi:type="dcterms:W3CDTF">2026-03-28T12:18:00Z</dcterms:created>
  <dcterms:modified xsi:type="dcterms:W3CDTF">2026-03-31T13:40:00Z</dcterms:modified>
</cp:coreProperties>
</file>